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AF09" w14:textId="725FA65E" w:rsidR="007A07A7" w:rsidRDefault="007018D4" w:rsidP="00CE0158">
      <w:pPr>
        <w:pStyle w:val="xxmsonormal"/>
        <w:shd w:val="clear" w:color="auto" w:fill="FFFFFF"/>
        <w:rPr>
          <w:rFonts w:ascii="Arial" w:hAnsi="Arial" w:cs="Arial"/>
          <w:b/>
          <w:bCs/>
          <w:color w:val="000000"/>
          <w:sz w:val="24"/>
          <w:szCs w:val="24"/>
        </w:rPr>
      </w:pPr>
      <w:r>
        <w:rPr>
          <w:noProof/>
        </w:rPr>
        <w:drawing>
          <wp:inline distT="0" distB="0" distL="0" distR="0" wp14:anchorId="4A7EED42" wp14:editId="6310EA55">
            <wp:extent cx="800100" cy="810684"/>
            <wp:effectExtent l="0" t="0" r="0" b="8890"/>
            <wp:docPr id="1" name="Picture 1" descr="\\wimbledonvm.wimbledon.gmb.org.uk\WIMusers\julius monica\My Documents\My Pictures\New GMB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bledonvm.wimbledon.gmb.org.uk\WIMusers\julius monica\My Documents\My Pictures\New GMB Logo 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224" cy="814862"/>
                    </a:xfrm>
                    <a:prstGeom prst="rect">
                      <a:avLst/>
                    </a:prstGeom>
                    <a:noFill/>
                    <a:ln>
                      <a:noFill/>
                    </a:ln>
                  </pic:spPr>
                </pic:pic>
              </a:graphicData>
            </a:graphic>
          </wp:inline>
        </w:drawing>
      </w:r>
      <w:r w:rsidR="00CE0158">
        <w:rPr>
          <w:rFonts w:ascii="Arial" w:hAnsi="Arial" w:cs="Arial"/>
          <w:b/>
          <w:bCs/>
          <w:color w:val="000000"/>
          <w:sz w:val="24"/>
          <w:szCs w:val="24"/>
        </w:rPr>
        <w:tab/>
      </w:r>
      <w:r w:rsidR="00CE0158">
        <w:rPr>
          <w:rFonts w:ascii="Arial" w:hAnsi="Arial" w:cs="Arial"/>
          <w:b/>
          <w:bCs/>
          <w:color w:val="000000"/>
          <w:sz w:val="24"/>
          <w:szCs w:val="24"/>
        </w:rPr>
        <w:tab/>
      </w:r>
      <w:r w:rsidR="009C0C79">
        <w:rPr>
          <w:rFonts w:ascii="Arial" w:hAnsi="Arial" w:cs="Arial"/>
          <w:b/>
          <w:bCs/>
          <w:color w:val="000000"/>
          <w:sz w:val="24"/>
          <w:szCs w:val="24"/>
        </w:rPr>
        <w:t xml:space="preserve">    </w:t>
      </w:r>
      <w:r w:rsidR="00394A7A">
        <w:rPr>
          <w:noProof/>
        </w:rPr>
        <w:drawing>
          <wp:inline distT="0" distB="0" distL="0" distR="0" wp14:anchorId="5260096C" wp14:editId="40654B51">
            <wp:extent cx="1955525" cy="812079"/>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709" cy="832919"/>
                    </a:xfrm>
                    <a:prstGeom prst="rect">
                      <a:avLst/>
                    </a:prstGeom>
                    <a:noFill/>
                    <a:ln>
                      <a:noFill/>
                    </a:ln>
                  </pic:spPr>
                </pic:pic>
              </a:graphicData>
            </a:graphic>
          </wp:inline>
        </w:drawing>
      </w:r>
      <w:r w:rsidR="00CE0158">
        <w:rPr>
          <w:rFonts w:ascii="Arial" w:hAnsi="Arial" w:cs="Arial"/>
          <w:b/>
          <w:bCs/>
          <w:color w:val="000000"/>
          <w:sz w:val="24"/>
          <w:szCs w:val="24"/>
        </w:rPr>
        <w:tab/>
      </w:r>
      <w:r w:rsidR="00CE0158">
        <w:rPr>
          <w:rFonts w:ascii="Arial" w:hAnsi="Arial" w:cs="Arial"/>
          <w:b/>
          <w:bCs/>
          <w:color w:val="000000"/>
          <w:sz w:val="24"/>
          <w:szCs w:val="24"/>
        </w:rPr>
        <w:tab/>
      </w:r>
      <w:r w:rsidR="00CE0158">
        <w:rPr>
          <w:noProof/>
        </w:rPr>
        <w:drawing>
          <wp:inline distT="0" distB="0" distL="0" distR="0" wp14:anchorId="5115CA60" wp14:editId="565BA958">
            <wp:extent cx="762000" cy="940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856" cy="965254"/>
                    </a:xfrm>
                    <a:prstGeom prst="rect">
                      <a:avLst/>
                    </a:prstGeom>
                    <a:noFill/>
                    <a:ln>
                      <a:noFill/>
                    </a:ln>
                  </pic:spPr>
                </pic:pic>
              </a:graphicData>
            </a:graphic>
          </wp:inline>
        </w:drawing>
      </w:r>
    </w:p>
    <w:p w14:paraId="1EB31F77" w14:textId="77777777" w:rsidR="00CE0158" w:rsidRDefault="00CE0158" w:rsidP="00CE0158">
      <w:pPr>
        <w:pStyle w:val="xxmsonormal"/>
        <w:shd w:val="clear" w:color="auto" w:fill="FFFFFF"/>
        <w:rPr>
          <w:rFonts w:ascii="Arial" w:hAnsi="Arial" w:cs="Arial"/>
          <w:b/>
          <w:bCs/>
          <w:color w:val="000000"/>
          <w:sz w:val="24"/>
          <w:szCs w:val="24"/>
        </w:rPr>
      </w:pPr>
    </w:p>
    <w:p w14:paraId="77983A44" w14:textId="77777777" w:rsidR="007A07A7" w:rsidRDefault="007A07A7" w:rsidP="005E3710">
      <w:pPr>
        <w:pStyle w:val="xxmsonormal"/>
        <w:shd w:val="clear" w:color="auto" w:fill="FFFFFF"/>
        <w:rPr>
          <w:rFonts w:ascii="Arial" w:hAnsi="Arial" w:cs="Arial"/>
          <w:b/>
          <w:bCs/>
          <w:color w:val="000000"/>
          <w:sz w:val="24"/>
          <w:szCs w:val="24"/>
        </w:rPr>
      </w:pPr>
    </w:p>
    <w:p w14:paraId="6EA4DCD2" w14:textId="77777777" w:rsidR="007A07A7" w:rsidRDefault="007A07A7" w:rsidP="005E3710">
      <w:pPr>
        <w:pStyle w:val="xxmsonormal"/>
        <w:shd w:val="clear" w:color="auto" w:fill="FFFFFF"/>
        <w:rPr>
          <w:rFonts w:ascii="Arial" w:hAnsi="Arial" w:cs="Arial"/>
          <w:b/>
          <w:bCs/>
          <w:color w:val="000000"/>
          <w:sz w:val="24"/>
          <w:szCs w:val="24"/>
        </w:rPr>
      </w:pPr>
    </w:p>
    <w:p w14:paraId="5A5E7165" w14:textId="6E2DD081" w:rsidR="005E3710" w:rsidRPr="005E3710" w:rsidRDefault="005E3710" w:rsidP="005E3710">
      <w:pPr>
        <w:pStyle w:val="xxmsonormal"/>
        <w:shd w:val="clear" w:color="auto" w:fill="FFFFFF"/>
        <w:rPr>
          <w:rFonts w:ascii="Arial" w:hAnsi="Arial" w:cs="Arial"/>
          <w:sz w:val="24"/>
          <w:szCs w:val="24"/>
        </w:rPr>
      </w:pPr>
      <w:r w:rsidRPr="005E3710">
        <w:rPr>
          <w:rFonts w:ascii="Arial" w:hAnsi="Arial" w:cs="Arial"/>
          <w:b/>
          <w:bCs/>
          <w:color w:val="000000"/>
          <w:sz w:val="24"/>
          <w:szCs w:val="24"/>
        </w:rPr>
        <w:t>Joint GMB, UNISON and Unite statement on the outcome of their complaint against the NEU</w:t>
      </w:r>
    </w:p>
    <w:p w14:paraId="18FF6FCE" w14:textId="34D58634" w:rsidR="005E3710" w:rsidRPr="005E3710" w:rsidRDefault="005E3710" w:rsidP="005E3710">
      <w:pPr>
        <w:pStyle w:val="xxmsonormal"/>
        <w:shd w:val="clear" w:color="auto" w:fill="FFFFFF"/>
        <w:rPr>
          <w:rFonts w:ascii="Arial" w:hAnsi="Arial" w:cs="Arial"/>
          <w:sz w:val="24"/>
          <w:szCs w:val="24"/>
        </w:rPr>
      </w:pPr>
      <w:r w:rsidRPr="005E3710">
        <w:rPr>
          <w:rFonts w:ascii="Arial" w:hAnsi="Arial" w:cs="Arial"/>
          <w:color w:val="000000"/>
          <w:sz w:val="24"/>
          <w:szCs w:val="24"/>
        </w:rPr>
        <w:t> </w:t>
      </w:r>
      <w:r w:rsidRPr="005E3710">
        <w:rPr>
          <w:rFonts w:ascii="Arial" w:hAnsi="Arial" w:cs="Arial"/>
          <w:color w:val="242424"/>
          <w:sz w:val="24"/>
          <w:szCs w:val="24"/>
        </w:rPr>
        <w:t> </w:t>
      </w:r>
    </w:p>
    <w:p w14:paraId="1A70E9CF" w14:textId="77777777" w:rsidR="005E3710" w:rsidRPr="005E3710" w:rsidRDefault="005E3710" w:rsidP="005E3710">
      <w:pPr>
        <w:pStyle w:val="xxmsonormal"/>
        <w:shd w:val="clear" w:color="auto" w:fill="FFFFFF"/>
        <w:rPr>
          <w:rFonts w:ascii="Arial" w:hAnsi="Arial" w:cs="Arial"/>
          <w:sz w:val="24"/>
          <w:szCs w:val="24"/>
        </w:rPr>
      </w:pPr>
      <w:r w:rsidRPr="005E3710">
        <w:rPr>
          <w:rStyle w:val="xcontentpasted0"/>
          <w:rFonts w:ascii="Arial" w:hAnsi="Arial" w:cs="Arial"/>
          <w:color w:val="000000"/>
          <w:sz w:val="24"/>
          <w:szCs w:val="24"/>
        </w:rPr>
        <w:t>Late last year, having failed to reach an agreement informally, the GMB, UNISON and Unite submitted a formal complaint to the TUC about the NEU’s organising activities and</w:t>
      </w:r>
      <w:r w:rsidRPr="005E3710">
        <w:rPr>
          <w:rStyle w:val="xcontentpasted0"/>
          <w:rFonts w:ascii="Arial" w:hAnsi="Arial" w:cs="Arial"/>
          <w:strike/>
          <w:color w:val="000000"/>
          <w:sz w:val="24"/>
          <w:szCs w:val="24"/>
        </w:rPr>
        <w:t xml:space="preserve"> </w:t>
      </w:r>
      <w:r w:rsidRPr="005E3710">
        <w:rPr>
          <w:rStyle w:val="xcontentpasted0"/>
          <w:rFonts w:ascii="Arial" w:hAnsi="Arial" w:cs="Arial"/>
          <w:color w:val="000000"/>
          <w:sz w:val="24"/>
          <w:szCs w:val="24"/>
        </w:rPr>
        <w:t>recruitment of school support staff.</w:t>
      </w:r>
    </w:p>
    <w:p w14:paraId="78C677F9" w14:textId="77777777" w:rsidR="005E3710" w:rsidRPr="005E3710" w:rsidRDefault="005E3710" w:rsidP="005E3710">
      <w:pPr>
        <w:pStyle w:val="xxmsonormal"/>
        <w:shd w:val="clear" w:color="auto" w:fill="FFFFFF"/>
        <w:rPr>
          <w:rFonts w:ascii="Arial" w:hAnsi="Arial" w:cs="Arial"/>
          <w:sz w:val="24"/>
          <w:szCs w:val="24"/>
        </w:rPr>
      </w:pPr>
      <w:r w:rsidRPr="005E3710">
        <w:rPr>
          <w:rStyle w:val="xcontentpasted0"/>
          <w:rFonts w:ascii="Arial" w:hAnsi="Arial" w:cs="Arial"/>
          <w:color w:val="242424"/>
          <w:sz w:val="24"/>
          <w:szCs w:val="24"/>
        </w:rPr>
        <w:t> </w:t>
      </w:r>
    </w:p>
    <w:p w14:paraId="70F57A20" w14:textId="77777777" w:rsidR="005E3710" w:rsidRPr="005E3710" w:rsidRDefault="005E3710" w:rsidP="005E3710">
      <w:pPr>
        <w:pStyle w:val="xxmsonormal"/>
        <w:shd w:val="clear" w:color="auto" w:fill="FFFFFF"/>
        <w:rPr>
          <w:rFonts w:ascii="Arial" w:hAnsi="Arial" w:cs="Arial"/>
          <w:sz w:val="24"/>
          <w:szCs w:val="24"/>
        </w:rPr>
      </w:pPr>
      <w:r w:rsidRPr="005E3710">
        <w:rPr>
          <w:rStyle w:val="xcontentpasted0"/>
          <w:rFonts w:ascii="Arial" w:hAnsi="Arial" w:cs="Arial"/>
          <w:color w:val="000000"/>
          <w:sz w:val="24"/>
          <w:szCs w:val="24"/>
        </w:rPr>
        <w:t>The complaint alleged that the NEU had actively sought to recruit school support staff and had intervened in pay negotiations (known as the NJC) between the three recognised unions and the local government employers, which cover school support staff. </w:t>
      </w:r>
    </w:p>
    <w:p w14:paraId="145B0268" w14:textId="77777777" w:rsidR="005E3710" w:rsidRPr="008C2231" w:rsidRDefault="005E3710" w:rsidP="005E3710">
      <w:pPr>
        <w:pStyle w:val="xxmsonormal"/>
        <w:shd w:val="clear" w:color="auto" w:fill="FFFFFF"/>
        <w:rPr>
          <w:rFonts w:ascii="Arial" w:hAnsi="Arial" w:cs="Arial"/>
          <w:sz w:val="24"/>
          <w:szCs w:val="24"/>
        </w:rPr>
      </w:pPr>
      <w:r w:rsidRPr="005E3710">
        <w:rPr>
          <w:rFonts w:ascii="Arial" w:hAnsi="Arial" w:cs="Arial"/>
          <w:color w:val="242424"/>
          <w:sz w:val="24"/>
          <w:szCs w:val="24"/>
        </w:rPr>
        <w:t> </w:t>
      </w:r>
    </w:p>
    <w:p w14:paraId="02780F1A" w14:textId="2E697158" w:rsidR="005E3710" w:rsidRPr="008C2231" w:rsidRDefault="005E3710" w:rsidP="005E3710">
      <w:pPr>
        <w:pStyle w:val="xxmsonormal"/>
        <w:shd w:val="clear" w:color="auto" w:fill="FFFFFF"/>
        <w:rPr>
          <w:rFonts w:ascii="Arial" w:hAnsi="Arial" w:cs="Arial"/>
          <w:sz w:val="24"/>
          <w:szCs w:val="24"/>
        </w:rPr>
      </w:pPr>
      <w:r w:rsidRPr="008C2231">
        <w:rPr>
          <w:rStyle w:val="xcontentpasted0"/>
          <w:rFonts w:ascii="Arial" w:hAnsi="Arial" w:cs="Arial"/>
          <w:sz w:val="24"/>
          <w:szCs w:val="24"/>
        </w:rPr>
        <w:t>This undermined a previous agreement between all four unions around two fundamental TUC principles: which essentially require unions not to recruit nor organise in areas already covered by other recognised TUC unions.   </w:t>
      </w:r>
    </w:p>
    <w:p w14:paraId="52E7F837" w14:textId="77777777" w:rsidR="005E3710" w:rsidRPr="008C2231" w:rsidRDefault="005E3710" w:rsidP="005E3710">
      <w:pPr>
        <w:pStyle w:val="xxmsonormal"/>
        <w:shd w:val="clear" w:color="auto" w:fill="FFFFFF"/>
        <w:rPr>
          <w:rFonts w:ascii="Arial" w:hAnsi="Arial" w:cs="Arial"/>
          <w:sz w:val="24"/>
          <w:szCs w:val="24"/>
        </w:rPr>
      </w:pPr>
      <w:r w:rsidRPr="008C2231">
        <w:rPr>
          <w:rStyle w:val="xcontentpasted0"/>
          <w:rFonts w:ascii="Arial" w:hAnsi="Arial" w:cs="Arial"/>
          <w:sz w:val="24"/>
          <w:szCs w:val="24"/>
        </w:rPr>
        <w:t> </w:t>
      </w:r>
    </w:p>
    <w:p w14:paraId="282A306C" w14:textId="6B5FB479" w:rsidR="005E3710" w:rsidRPr="008C2231" w:rsidRDefault="008C2231" w:rsidP="005E3710">
      <w:pPr>
        <w:pStyle w:val="xxmsonormal"/>
        <w:shd w:val="clear" w:color="auto" w:fill="FFFFFF"/>
        <w:rPr>
          <w:rFonts w:ascii="Arial" w:hAnsi="Arial" w:cs="Arial"/>
          <w:sz w:val="24"/>
          <w:szCs w:val="24"/>
        </w:rPr>
      </w:pPr>
      <w:r w:rsidRPr="008C2231">
        <w:rPr>
          <w:rStyle w:val="xcontentpasted0"/>
          <w:rFonts w:ascii="Arial" w:hAnsi="Arial" w:cs="Arial"/>
          <w:sz w:val="24"/>
          <w:szCs w:val="24"/>
        </w:rPr>
        <w:t>Following a TUC disputes panel hearing the TUC issued its judgement the end of March 2023, which has now been presented to the TUC General Council.</w:t>
      </w:r>
      <w:r w:rsidR="005E3710" w:rsidRPr="008C2231">
        <w:rPr>
          <w:rStyle w:val="xcontentpasted0"/>
          <w:rFonts w:ascii="Arial" w:hAnsi="Arial" w:cs="Arial"/>
          <w:sz w:val="24"/>
          <w:szCs w:val="24"/>
        </w:rPr>
        <w:t xml:space="preserve"> This upheld all the complaints against the NEU.</w:t>
      </w:r>
    </w:p>
    <w:p w14:paraId="759072ED" w14:textId="77777777" w:rsidR="005E3710" w:rsidRPr="008C2231" w:rsidRDefault="005E3710" w:rsidP="005E3710">
      <w:pPr>
        <w:pStyle w:val="xxmsonormal"/>
        <w:shd w:val="clear" w:color="auto" w:fill="FFFFFF"/>
        <w:rPr>
          <w:rFonts w:ascii="Arial" w:hAnsi="Arial" w:cs="Arial"/>
          <w:sz w:val="24"/>
          <w:szCs w:val="24"/>
        </w:rPr>
      </w:pPr>
      <w:r w:rsidRPr="008C2231">
        <w:rPr>
          <w:rStyle w:val="xcontentpasted0"/>
          <w:rFonts w:ascii="Arial" w:hAnsi="Arial" w:cs="Arial"/>
          <w:sz w:val="24"/>
          <w:szCs w:val="24"/>
        </w:rPr>
        <w:t> </w:t>
      </w:r>
    </w:p>
    <w:p w14:paraId="4195EA2E" w14:textId="77777777" w:rsidR="005E3710" w:rsidRPr="008C2231" w:rsidRDefault="005E3710" w:rsidP="005E3710">
      <w:pPr>
        <w:pStyle w:val="xxmsonormal"/>
        <w:shd w:val="clear" w:color="auto" w:fill="FFFFFF"/>
        <w:rPr>
          <w:rFonts w:ascii="Arial" w:hAnsi="Arial" w:cs="Arial"/>
          <w:sz w:val="24"/>
          <w:szCs w:val="24"/>
        </w:rPr>
      </w:pPr>
      <w:r w:rsidRPr="008C2231">
        <w:rPr>
          <w:rStyle w:val="xcontentpasted0"/>
          <w:rFonts w:ascii="Arial" w:hAnsi="Arial" w:cs="Arial"/>
          <w:b/>
          <w:bCs/>
          <w:sz w:val="24"/>
          <w:szCs w:val="24"/>
        </w:rPr>
        <w:t>The judgement reaffirmed that the NJC unions (GMB, UNISON and Unite) have exclusive bargaining rights for school support staff. It also explicitly stated that in future the NEU should take no action that could be regarded as organising activity among these workers.</w:t>
      </w:r>
    </w:p>
    <w:p w14:paraId="2F45B8C2" w14:textId="77777777" w:rsidR="005E3710" w:rsidRPr="008C2231" w:rsidRDefault="005E3710" w:rsidP="005E3710">
      <w:pPr>
        <w:pStyle w:val="xxmsonormal"/>
        <w:shd w:val="clear" w:color="auto" w:fill="FFFFFF"/>
        <w:rPr>
          <w:rFonts w:ascii="Arial" w:hAnsi="Arial" w:cs="Arial"/>
          <w:sz w:val="24"/>
          <w:szCs w:val="24"/>
        </w:rPr>
      </w:pPr>
      <w:r w:rsidRPr="008C2231">
        <w:rPr>
          <w:rFonts w:ascii="Arial" w:hAnsi="Arial" w:cs="Arial"/>
          <w:sz w:val="24"/>
          <w:szCs w:val="24"/>
        </w:rPr>
        <w:t> </w:t>
      </w:r>
    </w:p>
    <w:p w14:paraId="20CDC059" w14:textId="58001451" w:rsidR="005E3710" w:rsidRPr="005E3710" w:rsidRDefault="005E3710" w:rsidP="005E3710">
      <w:pPr>
        <w:pStyle w:val="xxmsonormal"/>
        <w:shd w:val="clear" w:color="auto" w:fill="FFFFFF"/>
        <w:rPr>
          <w:rFonts w:ascii="Arial" w:hAnsi="Arial" w:cs="Arial"/>
          <w:sz w:val="24"/>
          <w:szCs w:val="24"/>
        </w:rPr>
      </w:pPr>
      <w:r w:rsidRPr="005E3710">
        <w:rPr>
          <w:rStyle w:val="xcontentpasted0"/>
          <w:rFonts w:ascii="Arial" w:hAnsi="Arial" w:cs="Arial"/>
          <w:sz w:val="24"/>
          <w:szCs w:val="24"/>
        </w:rPr>
        <w:t>In recognition that the NEU’s activities had led to the recruitment of support staff, the TUC awarded financial compensation of £153,952</w:t>
      </w:r>
      <w:r w:rsidR="00EE2692">
        <w:rPr>
          <w:rStyle w:val="xcontentpasted0"/>
          <w:rFonts w:ascii="Arial" w:hAnsi="Arial" w:cs="Arial"/>
          <w:sz w:val="24"/>
          <w:szCs w:val="24"/>
        </w:rPr>
        <w:t>*</w:t>
      </w:r>
      <w:r w:rsidRPr="005E3710">
        <w:rPr>
          <w:rStyle w:val="xcontentpasted0"/>
          <w:rFonts w:ascii="Arial" w:hAnsi="Arial" w:cs="Arial"/>
          <w:sz w:val="24"/>
          <w:szCs w:val="24"/>
        </w:rPr>
        <w:t xml:space="preserve"> to be paid by the NEU in proportion to the NJC unions’ school membership. The </w:t>
      </w:r>
      <w:r w:rsidRPr="005E3710">
        <w:rPr>
          <w:rStyle w:val="xcontentpasted0"/>
          <w:rFonts w:ascii="Arial" w:hAnsi="Arial" w:cs="Arial"/>
          <w:color w:val="000000"/>
          <w:sz w:val="24"/>
          <w:szCs w:val="24"/>
        </w:rPr>
        <w:t>TUC also requires the NEU to</w:t>
      </w:r>
      <w:r w:rsidRPr="005E3710">
        <w:rPr>
          <w:rStyle w:val="xcontentpasted0"/>
          <w:rFonts w:ascii="Arial" w:hAnsi="Arial" w:cs="Arial"/>
          <w:color w:val="FF0000"/>
          <w:sz w:val="24"/>
          <w:szCs w:val="24"/>
        </w:rPr>
        <w:t> </w:t>
      </w:r>
      <w:r w:rsidRPr="005E3710">
        <w:rPr>
          <w:rStyle w:val="xcontentpasted0"/>
          <w:rFonts w:ascii="Arial" w:hAnsi="Arial" w:cs="Arial"/>
          <w:color w:val="000000"/>
          <w:sz w:val="24"/>
          <w:szCs w:val="24"/>
        </w:rPr>
        <w:t xml:space="preserve">put a statement on its website acknowledging the TUC's judgement. </w:t>
      </w:r>
      <w:r w:rsidRPr="005E3710">
        <w:rPr>
          <w:rStyle w:val="xcontentpasted0"/>
          <w:rFonts w:ascii="Arial" w:hAnsi="Arial" w:cs="Arial"/>
          <w:b/>
          <w:bCs/>
          <w:color w:val="000000"/>
          <w:sz w:val="24"/>
          <w:szCs w:val="24"/>
        </w:rPr>
        <w:t xml:space="preserve">This must say that the NEU cannot collectively bargain for support staff, will not seek recognition for them, nor undertake any campaign or </w:t>
      </w:r>
      <w:r w:rsidRPr="005E3710">
        <w:rPr>
          <w:rStyle w:val="xcontentpasted0"/>
          <w:rFonts w:ascii="Arial" w:hAnsi="Arial" w:cs="Arial"/>
          <w:b/>
          <w:bCs/>
          <w:sz w:val="24"/>
          <w:szCs w:val="24"/>
        </w:rPr>
        <w:t>organising activity that infringes on the NJC unions’ bargaining arrangements</w:t>
      </w:r>
      <w:r w:rsidRPr="005E3710">
        <w:rPr>
          <w:rStyle w:val="xcontentpasted0"/>
          <w:rFonts w:ascii="Arial" w:hAnsi="Arial" w:cs="Arial"/>
          <w:sz w:val="24"/>
          <w:szCs w:val="24"/>
        </w:rPr>
        <w:t xml:space="preserve">. Finally, the TUC asked the NJC joint unions to agree with the NEU a way for their members’ views to be consulted on – however the NEU remains not party to any NJC negotiations. </w:t>
      </w:r>
    </w:p>
    <w:p w14:paraId="1058CFF5" w14:textId="77777777" w:rsidR="005E3710" w:rsidRPr="005E3710" w:rsidRDefault="005E3710" w:rsidP="005E3710">
      <w:pPr>
        <w:pStyle w:val="xxmsonormal"/>
        <w:shd w:val="clear" w:color="auto" w:fill="FFFFFF"/>
        <w:rPr>
          <w:rFonts w:ascii="Arial" w:hAnsi="Arial" w:cs="Arial"/>
          <w:sz w:val="24"/>
          <w:szCs w:val="24"/>
        </w:rPr>
      </w:pPr>
      <w:r w:rsidRPr="005E3710">
        <w:rPr>
          <w:rFonts w:ascii="Arial" w:hAnsi="Arial" w:cs="Arial"/>
          <w:color w:val="242424"/>
          <w:sz w:val="24"/>
          <w:szCs w:val="24"/>
        </w:rPr>
        <w:t> </w:t>
      </w:r>
    </w:p>
    <w:p w14:paraId="3A2E9144" w14:textId="77777777" w:rsidR="005E3710" w:rsidRPr="005E3710" w:rsidRDefault="005E3710" w:rsidP="005E3710">
      <w:pPr>
        <w:pStyle w:val="xxmsonormal"/>
        <w:shd w:val="clear" w:color="auto" w:fill="FFFFFF"/>
        <w:rPr>
          <w:rFonts w:ascii="Arial" w:hAnsi="Arial" w:cs="Arial"/>
          <w:sz w:val="24"/>
          <w:szCs w:val="24"/>
        </w:rPr>
      </w:pPr>
      <w:r w:rsidRPr="005E3710">
        <w:rPr>
          <w:rStyle w:val="xcontentpasted0"/>
          <w:rFonts w:ascii="Arial" w:hAnsi="Arial" w:cs="Arial"/>
          <w:color w:val="000000"/>
          <w:sz w:val="24"/>
          <w:szCs w:val="24"/>
        </w:rPr>
        <w:t>The three unions would have preferred not to have had to bring the formal complaint in the first place but are satisfied with the outcome. Our hope is now that all unions can return to their previous good relationships and get back to joint campaigns for better investment in education and the school workforce.</w:t>
      </w:r>
    </w:p>
    <w:p w14:paraId="26CCF7E3" w14:textId="58F87766" w:rsidR="001C4336" w:rsidRPr="005E3710" w:rsidRDefault="001C4336" w:rsidP="0065593D">
      <w:pPr>
        <w:pStyle w:val="xmsonormal0"/>
        <w:shd w:val="clear" w:color="auto" w:fill="FFFFFF"/>
        <w:spacing w:after="240"/>
        <w:rPr>
          <w:rFonts w:ascii="Arial" w:hAnsi="Arial" w:cs="Arial"/>
          <w:sz w:val="24"/>
          <w:szCs w:val="24"/>
        </w:rPr>
      </w:pPr>
    </w:p>
    <w:sectPr w:rsidR="001C4336" w:rsidRPr="005E3710" w:rsidSect="00C1356D">
      <w:headerReference w:type="default" r:id="rId13"/>
      <w:footerReference w:type="even" r:id="rId14"/>
      <w:footerReference w:type="default" r:id="rId15"/>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4682" w14:textId="77777777" w:rsidR="009550A3" w:rsidRDefault="009550A3" w:rsidP="00706F8D">
      <w:r>
        <w:separator/>
      </w:r>
    </w:p>
    <w:p w14:paraId="1360C996" w14:textId="77777777" w:rsidR="009550A3" w:rsidRDefault="009550A3"/>
  </w:endnote>
  <w:endnote w:type="continuationSeparator" w:id="0">
    <w:p w14:paraId="556E3EB5" w14:textId="77777777" w:rsidR="009550A3" w:rsidRDefault="009550A3" w:rsidP="00706F8D">
      <w:r>
        <w:continuationSeparator/>
      </w:r>
    </w:p>
    <w:p w14:paraId="01689494" w14:textId="77777777" w:rsidR="009550A3" w:rsidRDefault="0095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1A53E64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18A4"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DDA7" w14:textId="77777777" w:rsidR="003131BE" w:rsidRDefault="003131BE" w:rsidP="00135E2B">
    <w:pPr>
      <w:pStyle w:val="Footer"/>
      <w:framePr w:h="318" w:hRule="exact" w:wrap="notBeside" w:vAnchor="page" w:hAnchor="page" w:x="710" w:y="16107"/>
      <w:rPr>
        <w:rStyle w:val="PageNumber"/>
      </w:rPr>
    </w:pPr>
  </w:p>
  <w:p w14:paraId="149C043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A3FC" w14:textId="77777777" w:rsidR="009550A3" w:rsidRDefault="009550A3" w:rsidP="00706F8D">
      <w:r>
        <w:separator/>
      </w:r>
    </w:p>
    <w:p w14:paraId="2D45BEE2" w14:textId="77777777" w:rsidR="009550A3" w:rsidRDefault="009550A3"/>
  </w:footnote>
  <w:footnote w:type="continuationSeparator" w:id="0">
    <w:p w14:paraId="3361AEFC" w14:textId="77777777" w:rsidR="009550A3" w:rsidRDefault="009550A3" w:rsidP="00706F8D">
      <w:r>
        <w:continuationSeparator/>
      </w:r>
    </w:p>
    <w:p w14:paraId="4582CF57" w14:textId="77777777" w:rsidR="009550A3" w:rsidRDefault="00955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D375"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674717">
    <w:abstractNumId w:val="12"/>
  </w:num>
  <w:num w:numId="2" w16cid:durableId="892740314">
    <w:abstractNumId w:val="14"/>
  </w:num>
  <w:num w:numId="3" w16cid:durableId="1225261258">
    <w:abstractNumId w:val="11"/>
  </w:num>
  <w:num w:numId="4" w16cid:durableId="1317150820">
    <w:abstractNumId w:val="13"/>
  </w:num>
  <w:num w:numId="5" w16cid:durableId="2077429797">
    <w:abstractNumId w:val="10"/>
  </w:num>
  <w:num w:numId="6" w16cid:durableId="392705784">
    <w:abstractNumId w:val="0"/>
  </w:num>
  <w:num w:numId="7" w16cid:durableId="1681004523">
    <w:abstractNumId w:val="1"/>
  </w:num>
  <w:num w:numId="8" w16cid:durableId="1685590331">
    <w:abstractNumId w:val="2"/>
  </w:num>
  <w:num w:numId="9" w16cid:durableId="662197982">
    <w:abstractNumId w:val="3"/>
  </w:num>
  <w:num w:numId="10" w16cid:durableId="19670186">
    <w:abstractNumId w:val="8"/>
  </w:num>
  <w:num w:numId="11" w16cid:durableId="132214882">
    <w:abstractNumId w:val="4"/>
  </w:num>
  <w:num w:numId="12" w16cid:durableId="500972079">
    <w:abstractNumId w:val="5"/>
  </w:num>
  <w:num w:numId="13" w16cid:durableId="917057791">
    <w:abstractNumId w:val="6"/>
  </w:num>
  <w:num w:numId="14" w16cid:durableId="1761870648">
    <w:abstractNumId w:val="7"/>
  </w:num>
  <w:num w:numId="15" w16cid:durableId="1086612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10"/>
    <w:rsid w:val="000D2502"/>
    <w:rsid w:val="000D3AB2"/>
    <w:rsid w:val="000E536B"/>
    <w:rsid w:val="000F04AA"/>
    <w:rsid w:val="00135E2B"/>
    <w:rsid w:val="00182927"/>
    <w:rsid w:val="001C4336"/>
    <w:rsid w:val="002314C5"/>
    <w:rsid w:val="003131BE"/>
    <w:rsid w:val="00367C26"/>
    <w:rsid w:val="00394A7A"/>
    <w:rsid w:val="00396622"/>
    <w:rsid w:val="003B2182"/>
    <w:rsid w:val="005647D9"/>
    <w:rsid w:val="005D5849"/>
    <w:rsid w:val="005E3710"/>
    <w:rsid w:val="0060080B"/>
    <w:rsid w:val="00632122"/>
    <w:rsid w:val="0065593D"/>
    <w:rsid w:val="00687AC0"/>
    <w:rsid w:val="00692A1E"/>
    <w:rsid w:val="007018D4"/>
    <w:rsid w:val="00706F8D"/>
    <w:rsid w:val="0075651D"/>
    <w:rsid w:val="00793737"/>
    <w:rsid w:val="007A07A7"/>
    <w:rsid w:val="007D331D"/>
    <w:rsid w:val="00893CB9"/>
    <w:rsid w:val="008C2231"/>
    <w:rsid w:val="00917819"/>
    <w:rsid w:val="009550A3"/>
    <w:rsid w:val="009848B4"/>
    <w:rsid w:val="009C0C79"/>
    <w:rsid w:val="009F0918"/>
    <w:rsid w:val="009F4E9C"/>
    <w:rsid w:val="00B33F7C"/>
    <w:rsid w:val="00C1356D"/>
    <w:rsid w:val="00C151FC"/>
    <w:rsid w:val="00CE0158"/>
    <w:rsid w:val="00CE1E74"/>
    <w:rsid w:val="00D37948"/>
    <w:rsid w:val="00D93342"/>
    <w:rsid w:val="00E02CF4"/>
    <w:rsid w:val="00EE2692"/>
    <w:rsid w:val="00F53257"/>
    <w:rsid w:val="00FA1AC9"/>
    <w:rsid w:val="00FA30AB"/>
    <w:rsid w:val="00FC3AFE"/>
    <w:rsid w:val="00FD4794"/>
    <w:rsid w:val="00FE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4FAC4"/>
  <w14:defaultImageDpi w14:val="32767"/>
  <w15:chartTrackingRefBased/>
  <w15:docId w15:val="{2BC59564-8716-48F2-9BDC-5225DCF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5E3710"/>
    <w:rPr>
      <w:rFonts w:ascii="Calibri" w:hAnsi="Calibri" w:cs="Calibri"/>
      <w:sz w:val="22"/>
      <w:szCs w:val="22"/>
      <w:lang w:eastAsia="en-GB"/>
    </w:rPr>
  </w:style>
  <w:style w:type="paragraph" w:customStyle="1" w:styleId="xxmsonormal">
    <w:name w:val="x_xmsonormal"/>
    <w:basedOn w:val="Normal"/>
    <w:rsid w:val="005E3710"/>
    <w:rPr>
      <w:rFonts w:ascii="Calibri" w:hAnsi="Calibri" w:cs="Calibri"/>
      <w:sz w:val="22"/>
      <w:szCs w:val="22"/>
      <w:lang w:eastAsia="en-GB"/>
    </w:rPr>
  </w:style>
  <w:style w:type="character" w:customStyle="1" w:styleId="xcontentpasted0">
    <w:name w:val="x_contentpasted0"/>
    <w:basedOn w:val="DefaultParagraphFont"/>
    <w:rsid w:val="005E3710"/>
  </w:style>
  <w:style w:type="paragraph" w:customStyle="1" w:styleId="xmsonormal0">
    <w:name w:val="xmsonormal"/>
    <w:basedOn w:val="Normal"/>
    <w:rsid w:val="00EE2692"/>
    <w:rPr>
      <w:rFonts w:ascii="Calibri" w:hAnsi="Calibri" w:cs="Calibri"/>
      <w:sz w:val="22"/>
      <w:szCs w:val="22"/>
      <w:lang w:eastAsia="en-GB"/>
    </w:rPr>
  </w:style>
  <w:style w:type="character" w:customStyle="1" w:styleId="contentpasted0">
    <w:name w:val="contentpasted0"/>
    <w:basedOn w:val="DefaultParagraphFont"/>
    <w:rsid w:val="00EE2692"/>
  </w:style>
  <w:style w:type="character" w:customStyle="1" w:styleId="xcontentpasted00">
    <w:name w:val="xcontentpasted0"/>
    <w:basedOn w:val="DefaultParagraphFont"/>
    <w:rsid w:val="00EE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713">
      <w:bodyDiv w:val="1"/>
      <w:marLeft w:val="0"/>
      <w:marRight w:val="0"/>
      <w:marTop w:val="0"/>
      <w:marBottom w:val="0"/>
      <w:divBdr>
        <w:top w:val="none" w:sz="0" w:space="0" w:color="auto"/>
        <w:left w:val="none" w:sz="0" w:space="0" w:color="auto"/>
        <w:bottom w:val="none" w:sz="0" w:space="0" w:color="auto"/>
        <w:right w:val="none" w:sz="0" w:space="0" w:color="auto"/>
      </w:divBdr>
    </w:div>
    <w:div w:id="2017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Mike</dc:creator>
  <cp:keywords/>
  <dc:description/>
  <cp:lastModifiedBy>Trudi Tew</cp:lastModifiedBy>
  <cp:revision>2</cp:revision>
  <cp:lastPrinted>2019-10-24T15:24:00Z</cp:lastPrinted>
  <dcterms:created xsi:type="dcterms:W3CDTF">2023-05-03T08:54:00Z</dcterms:created>
  <dcterms:modified xsi:type="dcterms:W3CDTF">2023-05-03T08:54:00Z</dcterms:modified>
</cp:coreProperties>
</file>